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103" w14:textId="253B2B28" w:rsidR="009928FF" w:rsidRDefault="00A85C09" w:rsidP="002F4C4D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69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4"/>
        <w:gridCol w:w="1592"/>
        <w:gridCol w:w="1750"/>
        <w:gridCol w:w="1753"/>
      </w:tblGrid>
      <w:tr w:rsidR="00494D4B" w:rsidRPr="00494D4B" w14:paraId="6131DCF2" w14:textId="77777777" w:rsidTr="00555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00885E"/>
            <w:vAlign w:val="center"/>
          </w:tcPr>
          <w:p w14:paraId="2A944CF2" w14:textId="23D9D9DC" w:rsidR="00494D4B" w:rsidRPr="00494D4B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  <w:r w:rsidRPr="00494D4B">
              <w:rPr>
                <w:rFonts w:ascii="Tahoma" w:hAnsi="Tahoma" w:cs="Tahoma"/>
                <w:iCs/>
                <w:sz w:val="20"/>
                <w:szCs w:val="20"/>
              </w:rPr>
              <w:t>Digitalisierungsprogramm</w:t>
            </w:r>
          </w:p>
          <w:p w14:paraId="1658A154" w14:textId="6F4963B3" w:rsidR="00494D4B" w:rsidRPr="00494D4B" w:rsidRDefault="00494D4B" w:rsidP="0055565A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Thema / Verantwortung:</w:t>
            </w:r>
          </w:p>
        </w:tc>
      </w:tr>
      <w:tr w:rsidR="008F3B85" w:rsidRPr="008F3B85" w14:paraId="09EC8245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50F60A0D" w14:textId="18AEA3E5" w:rsidR="00494D4B" w:rsidRPr="008F3B85" w:rsidRDefault="00494D4B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olor w:val="3C3C3B"/>
                <w:sz w:val="20"/>
                <w:szCs w:val="20"/>
                <w:lang w:val="de-DE"/>
              </w:rPr>
            </w:pPr>
            <w:r w:rsidRPr="008F3B85">
              <w:rPr>
                <w:b/>
                <w:bCs/>
                <w:iCs/>
                <w:caps w:val="0"/>
                <w:color w:val="3C3C3B"/>
                <w:sz w:val="20"/>
                <w:szCs w:val="20"/>
                <w:lang w:val="de-DE"/>
              </w:rPr>
              <w:t>1. Leitbild</w:t>
            </w:r>
          </w:p>
        </w:tc>
      </w:tr>
      <w:tr w:rsidR="008F3B85" w:rsidRPr="008F3B85" w14:paraId="455ECCB7" w14:textId="77777777" w:rsidTr="00494D4B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</w:tcPr>
          <w:p w14:paraId="4413C44E" w14:textId="4B647934" w:rsidR="00494D4B" w:rsidRPr="008F3B85" w:rsidRDefault="00494D4B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olor w:val="3C3C3B"/>
                <w:sz w:val="20"/>
                <w:szCs w:val="20"/>
                <w:lang w:val="de-DE"/>
              </w:rPr>
            </w:pPr>
          </w:p>
        </w:tc>
      </w:tr>
      <w:tr w:rsidR="008F3B85" w:rsidRPr="008F3B85" w14:paraId="1900CE4B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60E053EE" w14:textId="27E0800C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2. Strategie</w:t>
            </w:r>
          </w:p>
        </w:tc>
      </w:tr>
      <w:tr w:rsidR="008F3B85" w:rsidRPr="008F3B85" w14:paraId="783444C9" w14:textId="77777777" w:rsidTr="00494D4B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</w:tcPr>
          <w:p w14:paraId="0EAC0479" w14:textId="066D66AC" w:rsidR="00494D4B" w:rsidRPr="008F3B85" w:rsidRDefault="00494D4B" w:rsidP="00494D4B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10DC82CF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083FC105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3. Struktur: Organisation, Führung und Personal</w:t>
            </w:r>
          </w:p>
        </w:tc>
      </w:tr>
      <w:tr w:rsidR="008F3B85" w:rsidRPr="008F3B85" w14:paraId="17E0DD0B" w14:textId="77777777" w:rsidTr="00494D4B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</w:tcPr>
          <w:p w14:paraId="303FBA75" w14:textId="2BF58EA0" w:rsidR="00494D4B" w:rsidRPr="008F3B85" w:rsidRDefault="00494D4B" w:rsidP="00494D4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23A38293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D9D9D9" w:themeFill="background1" w:themeFillShade="D9"/>
            <w:vAlign w:val="center"/>
          </w:tcPr>
          <w:p w14:paraId="288CADDD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4. Umsetzung: Schlüsselmaßnahmen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37F6B9F9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F495243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Verantwortung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0AE58ECA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Status</w:t>
            </w:r>
          </w:p>
        </w:tc>
      </w:tr>
      <w:tr w:rsidR="008F3B85" w:rsidRPr="008F3B85" w14:paraId="0CB5EA06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52D4F4CD" w14:textId="28A70E14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EC04D8A" w14:textId="7806870E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426B84A5" w14:textId="6ABD2CD4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31CC7BCB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350EB211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39DFA266" w14:textId="25FBAC6C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53660210" w14:textId="0EB2325B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B6A05F1" w14:textId="766DB753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7D72B820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2CD7CFDD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0FD1F532" w14:textId="4E27708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04B8296D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819FF29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85E8317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0144FE54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E4E2833" w14:textId="2A13039C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7692157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730E757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A27BB31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74A0EF1D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58CB169A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022F0111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6048AAF6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5ED38BA4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19F267E3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14A9711B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364C2FE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B996E3B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8268CC0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12D4DF21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75C6F2C9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6C5D0A91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486B5F20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5A2D319B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7CB24364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2CD33EB6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3F19A0C9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553A2299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324E30C8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3566FB9C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13EE8BF1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17B471C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3163DD9B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5F395461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0D66FE78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C2E8767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500D6172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C6022F7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7F2A1B51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52227E33" w14:textId="77777777" w:rsidTr="005556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004F2A4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38DD6548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0833D9F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65DFB4A8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8F3B85" w:rsidRPr="008F3B85" w14:paraId="52868408" w14:textId="77777777" w:rsidTr="00555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75BD70E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495623A7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08A2A945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6344693F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</w:tbl>
    <w:p w14:paraId="682D3D44" w14:textId="0EAB8D67" w:rsidR="00494D4B" w:rsidRPr="008F3B85" w:rsidRDefault="00494D4B" w:rsidP="002F4C4D">
      <w:pPr>
        <w:tabs>
          <w:tab w:val="left" w:pos="2280"/>
        </w:tabs>
        <w:rPr>
          <w:rFonts w:ascii="Tahoma" w:hAnsi="Tahoma" w:cs="Tahoma"/>
          <w:color w:val="3C3C3B"/>
          <w:sz w:val="20"/>
          <w:szCs w:val="20"/>
        </w:rPr>
      </w:pPr>
    </w:p>
    <w:p w14:paraId="2296CFB8" w14:textId="0BC3CF8A" w:rsidR="00494D4B" w:rsidRPr="008F3B85" w:rsidRDefault="00494D4B" w:rsidP="00494D4B">
      <w:pPr>
        <w:rPr>
          <w:rFonts w:ascii="Tahoma" w:hAnsi="Tahoma" w:cs="Tahoma"/>
          <w:color w:val="3C3C3B"/>
          <w:sz w:val="20"/>
          <w:szCs w:val="20"/>
        </w:rPr>
      </w:pPr>
      <w:r w:rsidRPr="008F3B85">
        <w:rPr>
          <w:rFonts w:ascii="Tahoma" w:hAnsi="Tahoma" w:cs="Tahoma"/>
          <w:color w:val="3C3C3B"/>
          <w:sz w:val="20"/>
          <w:szCs w:val="20"/>
        </w:rPr>
        <w:br w:type="page"/>
      </w:r>
    </w:p>
    <w:p w14:paraId="1CBD1168" w14:textId="7C0E5665" w:rsidR="00494D4B" w:rsidRPr="008F3B85" w:rsidRDefault="00494D4B" w:rsidP="00494D4B">
      <w:pPr>
        <w:spacing w:line="276" w:lineRule="auto"/>
        <w:jc w:val="both"/>
        <w:rPr>
          <w:rFonts w:ascii="Tahoma" w:hAnsi="Tahoma" w:cs="Tahoma"/>
          <w:color w:val="3C3C3B"/>
          <w:sz w:val="20"/>
          <w:szCs w:val="20"/>
        </w:rPr>
      </w:pPr>
      <w:r w:rsidRPr="008F3B85">
        <w:rPr>
          <w:rFonts w:ascii="Tahoma" w:hAnsi="Tahoma" w:cs="Tahoma"/>
          <w:iCs/>
          <w:color w:val="3C3C3B"/>
          <w:sz w:val="20"/>
          <w:szCs w:val="20"/>
        </w:rPr>
        <w:lastRenderedPageBreak/>
        <w:t>Hintergrund: Ein Handelsunternehmen entwickelt eine Digitalisierungs</w:t>
      </w:r>
      <w:r w:rsidR="00C236D9">
        <w:rPr>
          <w:rFonts w:ascii="Tahoma" w:hAnsi="Tahoma" w:cs="Tahoma"/>
          <w:iCs/>
          <w:color w:val="3C3C3B"/>
          <w:sz w:val="20"/>
          <w:szCs w:val="20"/>
        </w:rPr>
        <w:t>s</w:t>
      </w:r>
      <w:r w:rsidRPr="008F3B85">
        <w:rPr>
          <w:rFonts w:ascii="Tahoma" w:hAnsi="Tahoma" w:cs="Tahoma"/>
          <w:iCs/>
          <w:color w:val="3C3C3B"/>
          <w:sz w:val="20"/>
          <w:szCs w:val="20"/>
        </w:rPr>
        <w:t>trategie mit insgesamt fünf Schlüsselprojekten. Für jedes wird ein Digitalisierungsprogramm erstellt – wie beispielsweise für das Schlüsselprogramm „Digitale Logistik (</w:t>
      </w:r>
      <w:proofErr w:type="spellStart"/>
      <w:r w:rsidRPr="008F3B85">
        <w:rPr>
          <w:rFonts w:ascii="Tahoma" w:hAnsi="Tahoma" w:cs="Tahoma"/>
          <w:iCs/>
          <w:color w:val="3C3C3B"/>
          <w:sz w:val="20"/>
          <w:szCs w:val="20"/>
        </w:rPr>
        <w:t>DigiLog</w:t>
      </w:r>
      <w:proofErr w:type="spellEnd"/>
      <w:r w:rsidRPr="008F3B85">
        <w:rPr>
          <w:rFonts w:ascii="Tahoma" w:hAnsi="Tahoma" w:cs="Tahoma"/>
          <w:iCs/>
          <w:color w:val="3C3C3B"/>
          <w:sz w:val="20"/>
          <w:szCs w:val="20"/>
        </w:rPr>
        <w:t>)“.</w:t>
      </w:r>
    </w:p>
    <w:tbl>
      <w:tblPr>
        <w:tblStyle w:val="Gitternetztabelle4Akzent6"/>
        <w:tblW w:w="9069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4"/>
        <w:gridCol w:w="1592"/>
        <w:gridCol w:w="1750"/>
        <w:gridCol w:w="1753"/>
      </w:tblGrid>
      <w:tr w:rsidR="00494D4B" w:rsidRPr="00494D4B" w14:paraId="5635D3CD" w14:textId="77777777" w:rsidTr="00D51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00885E"/>
            <w:vAlign w:val="center"/>
          </w:tcPr>
          <w:p w14:paraId="1C519248" w14:textId="17B1F9CB" w:rsidR="00494D4B" w:rsidRPr="00494D4B" w:rsidRDefault="00494D4B" w:rsidP="0055565A">
            <w:pPr>
              <w:spacing w:line="276" w:lineRule="auto"/>
              <w:rPr>
                <w:rFonts w:ascii="Tahoma" w:hAnsi="Tahoma" w:cs="Tahoma"/>
                <w:b w:val="0"/>
                <w:bCs w:val="0"/>
                <w:iCs/>
                <w:sz w:val="16"/>
                <w:szCs w:val="16"/>
              </w:rPr>
            </w:pPr>
            <w:r w:rsidRPr="00494D4B">
              <w:rPr>
                <w:rFonts w:ascii="Tahoma" w:hAnsi="Tahoma" w:cs="Tahoma"/>
                <w:iCs/>
                <w:sz w:val="16"/>
                <w:szCs w:val="16"/>
              </w:rPr>
              <w:t xml:space="preserve">Digitalisierungsprogramm: </w:t>
            </w:r>
            <w:r w:rsidRPr="006455FB">
              <w:rPr>
                <w:rFonts w:ascii="Tahoma" w:hAnsi="Tahoma" w:cs="Tahoma"/>
                <w:i/>
                <w:sz w:val="16"/>
                <w:szCs w:val="16"/>
              </w:rPr>
              <w:t>Beispiel (Handel)</w:t>
            </w:r>
          </w:p>
          <w:p w14:paraId="0065A349" w14:textId="77777777" w:rsidR="00494D4B" w:rsidRPr="00494D4B" w:rsidRDefault="00494D4B" w:rsidP="0055565A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494D4B">
              <w:rPr>
                <w:rFonts w:ascii="Tahoma" w:hAnsi="Tahoma" w:cs="Tahoma"/>
                <w:iCs/>
                <w:sz w:val="16"/>
                <w:szCs w:val="16"/>
              </w:rPr>
              <w:t>Digitales Schlüsselprojekt: Digitale Logistik (</w:t>
            </w:r>
            <w:proofErr w:type="spellStart"/>
            <w:r w:rsidRPr="00494D4B">
              <w:rPr>
                <w:rFonts w:ascii="Tahoma" w:hAnsi="Tahoma" w:cs="Tahoma"/>
                <w:iCs/>
                <w:sz w:val="16"/>
                <w:szCs w:val="16"/>
              </w:rPr>
              <w:t>DigiLog</w:t>
            </w:r>
            <w:proofErr w:type="spellEnd"/>
            <w:r w:rsidRPr="00494D4B">
              <w:rPr>
                <w:rFonts w:ascii="Tahoma" w:hAnsi="Tahoma" w:cs="Tahoma"/>
                <w:iCs/>
                <w:sz w:val="16"/>
                <w:szCs w:val="16"/>
              </w:rPr>
              <w:t>) / Verantwortung: U. Ott</w:t>
            </w:r>
          </w:p>
        </w:tc>
      </w:tr>
      <w:tr w:rsidR="008F3B85" w:rsidRPr="008F3B85" w14:paraId="4DA51AF9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6A0B46B9" w14:textId="77777777" w:rsidR="00494D4B" w:rsidRPr="008F3B85" w:rsidRDefault="00494D4B" w:rsidP="0055565A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iCs/>
                <w:color w:val="3C3C3B"/>
                <w:sz w:val="16"/>
                <w:szCs w:val="16"/>
                <w:lang w:val="de-DE"/>
              </w:rPr>
            </w:pPr>
            <w:r w:rsidRPr="008F3B85">
              <w:rPr>
                <w:b/>
                <w:bCs/>
                <w:iCs/>
                <w:caps w:val="0"/>
                <w:color w:val="3C3C3B"/>
                <w:sz w:val="16"/>
                <w:szCs w:val="16"/>
                <w:lang w:val="de-DE"/>
              </w:rPr>
              <w:t>1. Leitbild: digitale Anforderungen aus der Unternehmensstrategie</w:t>
            </w:r>
          </w:p>
        </w:tc>
      </w:tr>
      <w:tr w:rsidR="008F3B85" w:rsidRPr="008F3B85" w14:paraId="08412ABF" w14:textId="77777777" w:rsidTr="00494D4B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</w:tcPr>
          <w:p w14:paraId="52088E49" w14:textId="36B39224" w:rsidR="00494D4B" w:rsidRPr="008F3B85" w:rsidRDefault="00494D4B" w:rsidP="006455FB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ind w:left="360"/>
              <w:jc w:val="left"/>
              <w:rPr>
                <w:iCs/>
                <w:color w:val="3C3C3B"/>
                <w:sz w:val="16"/>
                <w:szCs w:val="16"/>
                <w:lang w:val="de-DE"/>
              </w:rPr>
            </w:pPr>
            <w:r w:rsidRPr="008F3B85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>Marktführerschaft bei allen e-, i- und d-lösungen für Kunden, Lieferanten und Industriepartner</w:t>
            </w:r>
          </w:p>
          <w:p w14:paraId="2D475977" w14:textId="30410754" w:rsidR="00494D4B" w:rsidRPr="008F3B85" w:rsidRDefault="00494D4B" w:rsidP="006455FB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ind w:left="360"/>
              <w:jc w:val="left"/>
              <w:rPr>
                <w:iCs/>
                <w:color w:val="3C3C3B"/>
                <w:sz w:val="16"/>
                <w:szCs w:val="16"/>
                <w:lang w:val="de-DE"/>
              </w:rPr>
            </w:pPr>
            <w:r w:rsidRPr="008F3B85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>deutliche Produktivitätssteigerung in der Beschaffung in alle Logistikprozessen</w:t>
            </w:r>
          </w:p>
          <w:p w14:paraId="5197ADEE" w14:textId="08231B0D" w:rsidR="006455FB" w:rsidRPr="006455FB" w:rsidRDefault="00494D4B" w:rsidP="006455FB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ind w:left="360"/>
              <w:jc w:val="left"/>
              <w:rPr>
                <w:iCs/>
                <w:color w:val="3C3C3B"/>
                <w:sz w:val="16"/>
                <w:szCs w:val="16"/>
                <w:lang w:val="de-DE"/>
              </w:rPr>
            </w:pPr>
            <w:r w:rsidRPr="008F3B85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 xml:space="preserve">Personalentwicklung für die digitale Welt und Steigerung der Attraktivität am Arbeitsmarkt für digitale Qualifikationen (Programmierer, </w:t>
            </w:r>
            <w:r w:rsidR="00C236D9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>P</w:t>
            </w:r>
            <w:r w:rsidRPr="008F3B85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>rozessexperten…) in der Logistik</w:t>
            </w:r>
          </w:p>
          <w:p w14:paraId="2459132B" w14:textId="55770214" w:rsidR="00494D4B" w:rsidRPr="006455FB" w:rsidRDefault="00494D4B" w:rsidP="006455FB">
            <w:pPr>
              <w:pStyle w:val="FHZwischentitel"/>
              <w:numPr>
                <w:ilvl w:val="0"/>
                <w:numId w:val="14"/>
              </w:numPr>
              <w:tabs>
                <w:tab w:val="left" w:pos="1640"/>
              </w:tabs>
              <w:spacing w:line="276" w:lineRule="auto"/>
              <w:ind w:left="360"/>
              <w:jc w:val="left"/>
              <w:rPr>
                <w:iCs/>
                <w:color w:val="3C3C3B"/>
                <w:sz w:val="16"/>
                <w:szCs w:val="16"/>
                <w:lang w:val="de-DE"/>
              </w:rPr>
            </w:pPr>
            <w:r w:rsidRPr="006455FB">
              <w:rPr>
                <w:iCs/>
                <w:caps w:val="0"/>
                <w:color w:val="3C3C3B"/>
                <w:sz w:val="16"/>
                <w:szCs w:val="16"/>
                <w:lang w:val="de-DE"/>
              </w:rPr>
              <w:t>…</w:t>
            </w:r>
          </w:p>
        </w:tc>
      </w:tr>
      <w:tr w:rsidR="008F3B85" w:rsidRPr="008F3B85" w14:paraId="08FBAECA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471197DC" w14:textId="481BEEE4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2. Strategie: Digitalisierungs-Ziele</w:t>
            </w:r>
          </w:p>
        </w:tc>
      </w:tr>
      <w:tr w:rsidR="008F3B85" w:rsidRPr="008F3B85" w14:paraId="29449B76" w14:textId="77777777" w:rsidTr="00494D4B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  <w:vAlign w:val="center"/>
          </w:tcPr>
          <w:p w14:paraId="3A6D2305" w14:textId="7C867861" w:rsidR="00494D4B" w:rsidRPr="006455FB" w:rsidRDefault="00494D4B" w:rsidP="006455FB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Digitalisierungs</w:t>
            </w:r>
            <w:r w:rsidR="00C236D9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p</w:t>
            </w: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lattform als neuer Point </w:t>
            </w:r>
            <w:proofErr w:type="spellStart"/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of</w:t>
            </w:r>
            <w:proofErr w:type="spellEnd"/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Delivery</w:t>
            </w:r>
            <w:proofErr w:type="spellEnd"/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 (Verwendungsquote: über 70%)</w:t>
            </w:r>
          </w:p>
          <w:p w14:paraId="07E55408" w14:textId="09E5FBFE" w:rsidR="00494D4B" w:rsidRPr="006455FB" w:rsidRDefault="00494D4B" w:rsidP="006455FB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durchgängige Steuerung der Logistik mit digitalen Lösungen und 100% Systemabdeckungen aller relevanten Steuerungsinformationen (Lieferqualität…)</w:t>
            </w:r>
          </w:p>
          <w:p w14:paraId="03D568E3" w14:textId="13B9DA76" w:rsidR="00494D4B" w:rsidRPr="006455FB" w:rsidRDefault="00494D4B" w:rsidP="006455FB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durchgängige Realisierung der App- und Daten-Lösungen für Kund</w:t>
            </w:r>
            <w:r w:rsidR="00C62694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e</w:t>
            </w: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n und Lieferanten (keine Systembrüche)</w:t>
            </w:r>
          </w:p>
          <w:p w14:paraId="7B701744" w14:textId="77777777" w:rsidR="006455FB" w:rsidRPr="006455FB" w:rsidRDefault="00494D4B" w:rsidP="006455FB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Realisierung von Beschaffungs-Erfahrungseffekten bzw. in der Logistik-Kette von 5-10%</w:t>
            </w:r>
          </w:p>
          <w:p w14:paraId="138D2802" w14:textId="4B1839D9" w:rsidR="00494D4B" w:rsidRPr="006455FB" w:rsidRDefault="00494D4B" w:rsidP="006455FB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…</w:t>
            </w:r>
          </w:p>
        </w:tc>
      </w:tr>
      <w:tr w:rsidR="008F3B85" w:rsidRPr="008F3B85" w14:paraId="2CAE2F9B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D9D9D9" w:themeFill="background1" w:themeFillShade="D9"/>
            <w:vAlign w:val="center"/>
          </w:tcPr>
          <w:p w14:paraId="480CC353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3. Struktur: Organisation, Führung und Personal</w:t>
            </w:r>
          </w:p>
        </w:tc>
      </w:tr>
      <w:tr w:rsidR="008F3B85" w:rsidRPr="008F3B85" w14:paraId="2B53FEE9" w14:textId="77777777" w:rsidTr="00494D4B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4"/>
            <w:shd w:val="clear" w:color="auto" w:fill="FFFFFF" w:themeFill="background1"/>
            <w:vAlign w:val="center"/>
          </w:tcPr>
          <w:p w14:paraId="316508BA" w14:textId="10F2BE64" w:rsidR="00494D4B" w:rsidRPr="006455FB" w:rsidRDefault="00494D4B" w:rsidP="006455FB">
            <w:pPr>
              <w:pStyle w:val="Listenabsatz"/>
              <w:numPr>
                <w:ilvl w:val="0"/>
                <w:numId w:val="18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Umstrukturierung der bisherigen Beschaffungs-, Qualitäts-, und </w:t>
            </w:r>
            <w:r w:rsidR="00C236D9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L</w:t>
            </w: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ogistikabteilungen in vernetzten Prozessen inkl. Definition der Prozess-verantwortlichen</w:t>
            </w:r>
          </w:p>
          <w:p w14:paraId="0C0CA2FC" w14:textId="1CA20367" w:rsidR="00494D4B" w:rsidRPr="006455FB" w:rsidRDefault="00494D4B" w:rsidP="006455FB">
            <w:pPr>
              <w:pStyle w:val="Listenabsatz"/>
              <w:numPr>
                <w:ilvl w:val="0"/>
                <w:numId w:val="18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Abbildung der neuen Prozesse im ERP- und Warenwirtschaftsprogramm</w:t>
            </w:r>
          </w:p>
          <w:p w14:paraId="1AA8CB2F" w14:textId="77777777" w:rsidR="006455FB" w:rsidRPr="006455FB" w:rsidRDefault="00494D4B" w:rsidP="006455FB">
            <w:pPr>
              <w:pStyle w:val="Listenabsatz"/>
              <w:numPr>
                <w:ilvl w:val="0"/>
                <w:numId w:val="18"/>
              </w:numPr>
              <w:spacing w:line="276" w:lineRule="auto"/>
              <w:ind w:left="360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Personalentwicklungsplan für die digitalen Kompetenzen für alle relevanten Funktionen</w:t>
            </w:r>
          </w:p>
          <w:p w14:paraId="25077D05" w14:textId="485FB4D3" w:rsidR="00494D4B" w:rsidRPr="006455FB" w:rsidRDefault="00494D4B" w:rsidP="006455FB">
            <w:pPr>
              <w:pStyle w:val="Listenabsatz"/>
              <w:numPr>
                <w:ilvl w:val="0"/>
                <w:numId w:val="18"/>
              </w:numPr>
              <w:spacing w:line="276" w:lineRule="auto"/>
              <w:ind w:left="36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…</w:t>
            </w:r>
          </w:p>
        </w:tc>
      </w:tr>
      <w:tr w:rsidR="008F3B85" w:rsidRPr="008F3B85" w14:paraId="7E4CB936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D9D9D9" w:themeFill="background1" w:themeFillShade="D9"/>
            <w:vAlign w:val="center"/>
          </w:tcPr>
          <w:p w14:paraId="5066FF2B" w14:textId="77777777" w:rsidR="00494D4B" w:rsidRPr="008F3B85" w:rsidRDefault="00494D4B" w:rsidP="0055565A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4. Umsetzung: Schlüsselmaßnahmen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1A57FC40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C74DEBE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Verantwortung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A920167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Status</w:t>
            </w:r>
          </w:p>
        </w:tc>
      </w:tr>
      <w:tr w:rsidR="008F3B85" w:rsidRPr="008F3B85" w14:paraId="67A2C7A3" w14:textId="77777777" w:rsidTr="00494D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06A42ED" w14:textId="270A0976" w:rsidR="00494D4B" w:rsidRPr="006455FB" w:rsidRDefault="00494D4B" w:rsidP="006455FB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Umsetzung der digitalen </w:t>
            </w:r>
            <w:r w:rsidR="00C236D9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L</w:t>
            </w: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ogistiktools und Schnittstellen intern und extern (Durchgängigkeit der Erfassung, Speicherung bzw. Systemabbildung)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6796771B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30.10.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2642E10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A. Bauer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847DAD4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8F3B85" w:rsidRPr="008F3B85" w14:paraId="03BCD20B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6AD1A323" w14:textId="41347823" w:rsidR="00494D4B" w:rsidRPr="006455FB" w:rsidRDefault="00494D4B" w:rsidP="006455FB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Umsetzung eines digitalen Logistik-Baukastensystems je nach Lieferanten, Region und Geschäftsfeld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076C5746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31.12.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625CDF16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3B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FE733D9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8F3B85" w:rsidRPr="008F3B85" w14:paraId="286CD5CB" w14:textId="77777777" w:rsidTr="00494D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7DD2AB09" w14:textId="0B2674B2" w:rsidR="00494D4B" w:rsidRPr="006455FB" w:rsidRDefault="00494D4B" w:rsidP="006455FB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Konsequente Sortimentsbereinigung für die digitale Supply Chain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15F87D92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78F602E8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0DA7951" w14:textId="77777777" w:rsidR="00494D4B" w:rsidRPr="008F3B85" w:rsidRDefault="00494D4B" w:rsidP="00555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  <w:tr w:rsidR="008F3B85" w:rsidRPr="008F3B85" w14:paraId="30D54767" w14:textId="77777777" w:rsidTr="00494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FFFFFF" w:themeFill="background1"/>
            <w:vAlign w:val="center"/>
          </w:tcPr>
          <w:p w14:paraId="72529D84" w14:textId="1112B52E" w:rsidR="00494D4B" w:rsidRPr="006455FB" w:rsidRDefault="00494D4B" w:rsidP="006455FB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</w:pPr>
            <w:r w:rsidRPr="006455FB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6671C9CF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365809F4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6A82A3DD" w14:textId="77777777" w:rsidR="00494D4B" w:rsidRPr="008F3B85" w:rsidRDefault="00494D4B" w:rsidP="00555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</w:p>
        </w:tc>
      </w:tr>
    </w:tbl>
    <w:p w14:paraId="16649AE1" w14:textId="2D7D24AF" w:rsidR="00494D4B" w:rsidRPr="008F3B85" w:rsidRDefault="00494D4B" w:rsidP="002F4C4D">
      <w:pPr>
        <w:rPr>
          <w:rFonts w:ascii="Tahoma" w:hAnsi="Tahoma" w:cs="Tahoma"/>
          <w:b/>
          <w:bCs/>
          <w:iCs/>
          <w:color w:val="3C3C3B"/>
          <w:sz w:val="16"/>
          <w:szCs w:val="16"/>
        </w:rPr>
      </w:pPr>
    </w:p>
    <w:p w14:paraId="7C88620C" w14:textId="60C8A08B" w:rsidR="001773EC" w:rsidRPr="008F3B85" w:rsidRDefault="001773EC" w:rsidP="00464ABF">
      <w:pPr>
        <w:rPr>
          <w:rFonts w:ascii="Tahoma" w:hAnsi="Tahoma" w:cs="Tahoma"/>
          <w:b/>
          <w:bCs/>
          <w:iCs/>
          <w:color w:val="3C3C3B"/>
          <w:sz w:val="20"/>
          <w:szCs w:val="20"/>
        </w:rPr>
      </w:pPr>
    </w:p>
    <w:sectPr w:rsidR="001773EC" w:rsidRPr="008F3B85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39841CEC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182825">
      <w:rPr>
        <w:rFonts w:ascii="Tahoma" w:hAnsi="Tahoma" w:cs="Tahoma"/>
        <w:sz w:val="16"/>
        <w:szCs w:val="16"/>
        <w:lang w:val="en-US"/>
      </w:rPr>
      <w:t>2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182825">
      <w:rPr>
        <w:rFonts w:ascii="Tahoma" w:hAnsi="Tahoma" w:cs="Tahoma"/>
        <w:sz w:val="16"/>
        <w:szCs w:val="16"/>
        <w:lang w:val="en-US"/>
      </w:rPr>
      <w:t>November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</w:t>
    </w:r>
    <w:r w:rsidR="00F772F1">
      <w:rPr>
        <w:rFonts w:ascii="Tahoma" w:hAnsi="Tahoma" w:cs="Tahoma"/>
        <w:sz w:val="16"/>
        <w:szCs w:val="16"/>
        <w:lang w:val="en-US"/>
      </w:rPr>
      <w:t>7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C62694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66"/>
    <w:multiLevelType w:val="hybridMultilevel"/>
    <w:tmpl w:val="87DA33C8"/>
    <w:lvl w:ilvl="0" w:tplc="4B0C7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9FE"/>
    <w:multiLevelType w:val="hybridMultilevel"/>
    <w:tmpl w:val="BD9809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5A57"/>
    <w:multiLevelType w:val="hybridMultilevel"/>
    <w:tmpl w:val="E6DAF602"/>
    <w:lvl w:ilvl="0" w:tplc="EB861D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EE6932"/>
    <w:multiLevelType w:val="hybridMultilevel"/>
    <w:tmpl w:val="B4DE5BB4"/>
    <w:lvl w:ilvl="0" w:tplc="1FD0E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B45F6"/>
    <w:multiLevelType w:val="hybridMultilevel"/>
    <w:tmpl w:val="51382FEA"/>
    <w:lvl w:ilvl="0" w:tplc="EB861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F2662"/>
    <w:multiLevelType w:val="hybridMultilevel"/>
    <w:tmpl w:val="D1A0914A"/>
    <w:lvl w:ilvl="0" w:tplc="4B0C7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EB2"/>
    <w:multiLevelType w:val="hybridMultilevel"/>
    <w:tmpl w:val="A7C603D4"/>
    <w:lvl w:ilvl="0" w:tplc="1FD0E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18377678">
    <w:abstractNumId w:val="3"/>
  </w:num>
  <w:num w:numId="2" w16cid:durableId="1282688335">
    <w:abstractNumId w:val="6"/>
  </w:num>
  <w:num w:numId="3" w16cid:durableId="737551749">
    <w:abstractNumId w:val="11"/>
  </w:num>
  <w:num w:numId="4" w16cid:durableId="132530316">
    <w:abstractNumId w:val="7"/>
  </w:num>
  <w:num w:numId="5" w16cid:durableId="1806848277">
    <w:abstractNumId w:val="16"/>
  </w:num>
  <w:num w:numId="6" w16cid:durableId="1381439396">
    <w:abstractNumId w:val="8"/>
  </w:num>
  <w:num w:numId="7" w16cid:durableId="839081875">
    <w:abstractNumId w:val="5"/>
  </w:num>
  <w:num w:numId="8" w16cid:durableId="1271279572">
    <w:abstractNumId w:val="12"/>
  </w:num>
  <w:num w:numId="9" w16cid:durableId="1032271066">
    <w:abstractNumId w:val="18"/>
  </w:num>
  <w:num w:numId="10" w16cid:durableId="862131489">
    <w:abstractNumId w:val="1"/>
  </w:num>
  <w:num w:numId="11" w16cid:durableId="993727333">
    <w:abstractNumId w:val="14"/>
  </w:num>
  <w:num w:numId="12" w16cid:durableId="1215654842">
    <w:abstractNumId w:val="2"/>
  </w:num>
  <w:num w:numId="13" w16cid:durableId="1242325555">
    <w:abstractNumId w:val="4"/>
  </w:num>
  <w:num w:numId="14" w16cid:durableId="1730569766">
    <w:abstractNumId w:val="10"/>
  </w:num>
  <w:num w:numId="15" w16cid:durableId="2143839614">
    <w:abstractNumId w:val="17"/>
  </w:num>
  <w:num w:numId="16" w16cid:durableId="743602844">
    <w:abstractNumId w:val="15"/>
  </w:num>
  <w:num w:numId="17" w16cid:durableId="280499684">
    <w:abstractNumId w:val="0"/>
  </w:num>
  <w:num w:numId="18" w16cid:durableId="13382298">
    <w:abstractNumId w:val="13"/>
  </w:num>
  <w:num w:numId="19" w16cid:durableId="83890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A507A"/>
    <w:rsid w:val="001773EC"/>
    <w:rsid w:val="00182825"/>
    <w:rsid w:val="00192C2F"/>
    <w:rsid w:val="00295C76"/>
    <w:rsid w:val="002F4C4D"/>
    <w:rsid w:val="00396D35"/>
    <w:rsid w:val="003E5E42"/>
    <w:rsid w:val="00415E97"/>
    <w:rsid w:val="00464ABF"/>
    <w:rsid w:val="00471FE7"/>
    <w:rsid w:val="00494D4B"/>
    <w:rsid w:val="004C70F9"/>
    <w:rsid w:val="004E0B01"/>
    <w:rsid w:val="0055676B"/>
    <w:rsid w:val="005F6493"/>
    <w:rsid w:val="00602EDF"/>
    <w:rsid w:val="00610C04"/>
    <w:rsid w:val="006455FB"/>
    <w:rsid w:val="00755AF7"/>
    <w:rsid w:val="00887D63"/>
    <w:rsid w:val="008966D6"/>
    <w:rsid w:val="008F3B85"/>
    <w:rsid w:val="009928FF"/>
    <w:rsid w:val="009D3E59"/>
    <w:rsid w:val="00A545FA"/>
    <w:rsid w:val="00A85C09"/>
    <w:rsid w:val="00AA286F"/>
    <w:rsid w:val="00B27CE2"/>
    <w:rsid w:val="00BA2B3B"/>
    <w:rsid w:val="00C236D9"/>
    <w:rsid w:val="00C62694"/>
    <w:rsid w:val="00D518D7"/>
    <w:rsid w:val="00D6187F"/>
    <w:rsid w:val="00DB3965"/>
    <w:rsid w:val="00DD0A20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64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30</cp:revision>
  <dcterms:created xsi:type="dcterms:W3CDTF">2023-06-06T13:03:00Z</dcterms:created>
  <dcterms:modified xsi:type="dcterms:W3CDTF">2023-07-07T14:08:00Z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